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31176" w14:textId="77777777" w:rsidR="00C144B1" w:rsidRPr="00A32ED0" w:rsidRDefault="00C144B1" w:rsidP="00C144B1">
      <w:pPr>
        <w:jc w:val="center"/>
        <w:rPr>
          <w:b/>
          <w:sz w:val="32"/>
          <w:szCs w:val="32"/>
          <w:u w:val="single"/>
        </w:rPr>
      </w:pPr>
      <w:bookmarkStart w:id="0" w:name="_GoBack"/>
      <w:bookmarkEnd w:id="0"/>
      <w:r w:rsidRPr="00C144B1">
        <w:rPr>
          <w:b/>
          <w:sz w:val="32"/>
          <w:szCs w:val="32"/>
        </w:rPr>
        <w:t>LEA</w:t>
      </w:r>
      <w:r w:rsidR="00853D11">
        <w:rPr>
          <w:b/>
          <w:sz w:val="32"/>
          <w:szCs w:val="32"/>
        </w:rPr>
        <w:t>:</w:t>
      </w:r>
      <w:r w:rsidR="00A32ED0">
        <w:rPr>
          <w:b/>
          <w:sz w:val="32"/>
          <w:szCs w:val="32"/>
        </w:rPr>
        <w:t xml:space="preserve"> </w:t>
      </w:r>
      <w:r w:rsidR="00A32ED0">
        <w:rPr>
          <w:b/>
          <w:sz w:val="32"/>
          <w:szCs w:val="32"/>
          <w:u w:val="single"/>
        </w:rPr>
        <w:t>Fort Payne City School</w:t>
      </w:r>
    </w:p>
    <w:p w14:paraId="73E1DD31" w14:textId="77777777" w:rsidR="00C144B1" w:rsidRPr="00A32ED0" w:rsidRDefault="00853D11" w:rsidP="00C144B1">
      <w:pPr>
        <w:jc w:val="center"/>
        <w:rPr>
          <w:b/>
          <w:sz w:val="32"/>
          <w:szCs w:val="32"/>
          <w:u w:val="single"/>
        </w:rPr>
      </w:pPr>
      <w:r>
        <w:rPr>
          <w:b/>
          <w:sz w:val="32"/>
          <w:szCs w:val="32"/>
        </w:rPr>
        <w:t>PROGRAM:</w:t>
      </w:r>
      <w:r w:rsidR="00A32ED0">
        <w:rPr>
          <w:b/>
          <w:sz w:val="32"/>
          <w:szCs w:val="32"/>
        </w:rPr>
        <w:t xml:space="preserve"> </w:t>
      </w:r>
      <w:r w:rsidR="00A32ED0" w:rsidRPr="00A32ED0">
        <w:rPr>
          <w:b/>
          <w:sz w:val="32"/>
          <w:szCs w:val="32"/>
          <w:u w:val="single"/>
        </w:rPr>
        <w:t xml:space="preserve">Title </w:t>
      </w:r>
      <w:r w:rsidR="00F47E47">
        <w:rPr>
          <w:b/>
          <w:sz w:val="32"/>
          <w:szCs w:val="32"/>
          <w:u w:val="single"/>
        </w:rPr>
        <w:t>II</w:t>
      </w:r>
      <w:r>
        <w:rPr>
          <w:b/>
          <w:sz w:val="32"/>
          <w:szCs w:val="32"/>
        </w:rPr>
        <w:t xml:space="preserve">       FY:</w:t>
      </w:r>
      <w:r w:rsidR="00A32ED0">
        <w:rPr>
          <w:b/>
          <w:sz w:val="32"/>
          <w:szCs w:val="32"/>
        </w:rPr>
        <w:t xml:space="preserve"> </w:t>
      </w:r>
      <w:r w:rsidR="00A32ED0">
        <w:rPr>
          <w:b/>
          <w:sz w:val="32"/>
          <w:szCs w:val="32"/>
          <w:u w:val="single"/>
        </w:rPr>
        <w:t>2021</w:t>
      </w:r>
    </w:p>
    <w:p w14:paraId="3AEF8E6C" w14:textId="77777777" w:rsidR="00C144B1" w:rsidRPr="00C144B1" w:rsidRDefault="00C144B1" w:rsidP="00C144B1">
      <w:pPr>
        <w:jc w:val="center"/>
        <w:rPr>
          <w:b/>
          <w:sz w:val="32"/>
          <w:szCs w:val="32"/>
        </w:rPr>
      </w:pPr>
      <w:r w:rsidRPr="00C144B1">
        <w:rPr>
          <w:b/>
          <w:sz w:val="32"/>
          <w:szCs w:val="32"/>
        </w:rPr>
        <w:t>Program Evaluation Planning and Reporting Template</w:t>
      </w:r>
    </w:p>
    <w:tbl>
      <w:tblPr>
        <w:tblW w:w="1341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0"/>
        <w:gridCol w:w="3240"/>
        <w:gridCol w:w="4140"/>
        <w:gridCol w:w="3330"/>
      </w:tblGrid>
      <w:tr w:rsidR="00C144B1" w:rsidRPr="00C144B1" w14:paraId="2ECFE03A" w14:textId="77777777" w:rsidTr="00853D11">
        <w:tc>
          <w:tcPr>
            <w:tcW w:w="10080" w:type="dxa"/>
            <w:gridSpan w:val="3"/>
            <w:tcBorders>
              <w:right w:val="thinThickSmallGap" w:sz="24" w:space="0" w:color="auto"/>
            </w:tcBorders>
            <w:shd w:val="clear" w:color="auto" w:fill="B8CCE4"/>
          </w:tcPr>
          <w:p w14:paraId="13379530" w14:textId="77777777" w:rsidR="00C144B1" w:rsidRPr="00853D11" w:rsidRDefault="00C144B1" w:rsidP="00C144B1">
            <w:pPr>
              <w:spacing w:after="0"/>
              <w:rPr>
                <w:b/>
                <w:sz w:val="28"/>
                <w:szCs w:val="28"/>
              </w:rPr>
            </w:pPr>
            <w:r w:rsidRPr="00853D11">
              <w:rPr>
                <w:b/>
                <w:sz w:val="28"/>
                <w:szCs w:val="28"/>
              </w:rPr>
              <w:t>Planning</w:t>
            </w:r>
          </w:p>
        </w:tc>
        <w:tc>
          <w:tcPr>
            <w:tcW w:w="3330" w:type="dxa"/>
            <w:tcBorders>
              <w:left w:val="thinThickSmallGap" w:sz="24" w:space="0" w:color="auto"/>
            </w:tcBorders>
            <w:shd w:val="clear" w:color="auto" w:fill="B8CCE4"/>
          </w:tcPr>
          <w:p w14:paraId="5662FEA5" w14:textId="77777777" w:rsidR="00C144B1" w:rsidRPr="00853D11" w:rsidRDefault="00C144B1" w:rsidP="00C144B1">
            <w:pPr>
              <w:spacing w:after="0"/>
              <w:rPr>
                <w:b/>
                <w:sz w:val="28"/>
                <w:szCs w:val="28"/>
              </w:rPr>
            </w:pPr>
            <w:r w:rsidRPr="00853D11">
              <w:rPr>
                <w:b/>
                <w:sz w:val="28"/>
                <w:szCs w:val="28"/>
              </w:rPr>
              <w:t>End-of-the-Year Results</w:t>
            </w:r>
          </w:p>
        </w:tc>
      </w:tr>
      <w:tr w:rsidR="00C144B1" w:rsidRPr="00C144B1" w14:paraId="026301C6" w14:textId="77777777" w:rsidTr="00853D11">
        <w:tc>
          <w:tcPr>
            <w:tcW w:w="2700" w:type="dxa"/>
            <w:shd w:val="clear" w:color="auto" w:fill="DBE5F1"/>
          </w:tcPr>
          <w:p w14:paraId="77D9D434" w14:textId="77777777" w:rsidR="00C144B1" w:rsidRPr="00994961" w:rsidRDefault="00C144B1" w:rsidP="00C144B1">
            <w:pPr>
              <w:spacing w:after="0"/>
              <w:rPr>
                <w:b/>
                <w:sz w:val="24"/>
                <w:szCs w:val="24"/>
              </w:rPr>
            </w:pPr>
            <w:r w:rsidRPr="00994961">
              <w:rPr>
                <w:b/>
                <w:sz w:val="24"/>
                <w:szCs w:val="24"/>
              </w:rPr>
              <w:t>Fund Source(s)</w:t>
            </w:r>
          </w:p>
        </w:tc>
        <w:tc>
          <w:tcPr>
            <w:tcW w:w="3240" w:type="dxa"/>
            <w:shd w:val="clear" w:color="auto" w:fill="DBE5F1"/>
          </w:tcPr>
          <w:p w14:paraId="7AAEC580" w14:textId="77777777" w:rsidR="00C144B1" w:rsidRPr="00994961" w:rsidRDefault="00C144B1" w:rsidP="00C144B1">
            <w:pPr>
              <w:spacing w:after="0"/>
              <w:rPr>
                <w:b/>
                <w:sz w:val="24"/>
                <w:szCs w:val="24"/>
              </w:rPr>
            </w:pPr>
            <w:r w:rsidRPr="00994961">
              <w:rPr>
                <w:b/>
                <w:sz w:val="24"/>
                <w:szCs w:val="24"/>
              </w:rPr>
              <w:t xml:space="preserve">Key Strategies/ Actions </w:t>
            </w:r>
            <w:r w:rsidRPr="00994961">
              <w:rPr>
                <w:sz w:val="24"/>
                <w:szCs w:val="24"/>
              </w:rPr>
              <w:t xml:space="preserve">(from </w:t>
            </w:r>
            <w:proofErr w:type="spellStart"/>
            <w:r w:rsidRPr="00994961">
              <w:rPr>
                <w:sz w:val="24"/>
                <w:szCs w:val="24"/>
              </w:rPr>
              <w:t>eGAP</w:t>
            </w:r>
            <w:proofErr w:type="spellEnd"/>
            <w:r w:rsidRPr="00994961">
              <w:rPr>
                <w:sz w:val="24"/>
                <w:szCs w:val="24"/>
              </w:rPr>
              <w:t>)</w:t>
            </w:r>
          </w:p>
        </w:tc>
        <w:tc>
          <w:tcPr>
            <w:tcW w:w="4140" w:type="dxa"/>
            <w:tcBorders>
              <w:right w:val="thinThickSmallGap" w:sz="24" w:space="0" w:color="auto"/>
            </w:tcBorders>
            <w:shd w:val="clear" w:color="auto" w:fill="DBE5F1"/>
          </w:tcPr>
          <w:p w14:paraId="1DDBAE06" w14:textId="77777777" w:rsidR="00C144B1" w:rsidRPr="00994961" w:rsidRDefault="00C144B1" w:rsidP="00C144B1">
            <w:pPr>
              <w:spacing w:after="0"/>
              <w:rPr>
                <w:sz w:val="24"/>
                <w:szCs w:val="24"/>
              </w:rPr>
            </w:pPr>
            <w:r w:rsidRPr="00994961">
              <w:rPr>
                <w:b/>
                <w:sz w:val="24"/>
                <w:szCs w:val="24"/>
              </w:rPr>
              <w:t xml:space="preserve">Performance Measurements </w:t>
            </w:r>
            <w:r w:rsidRPr="00994961">
              <w:rPr>
                <w:sz w:val="24"/>
                <w:szCs w:val="24"/>
              </w:rPr>
              <w:t xml:space="preserve">(from </w:t>
            </w:r>
            <w:proofErr w:type="spellStart"/>
            <w:r w:rsidRPr="00994961">
              <w:rPr>
                <w:sz w:val="24"/>
                <w:szCs w:val="24"/>
              </w:rPr>
              <w:t>eGAP</w:t>
            </w:r>
            <w:proofErr w:type="spellEnd"/>
            <w:r w:rsidRPr="00994961">
              <w:rPr>
                <w:sz w:val="24"/>
                <w:szCs w:val="24"/>
              </w:rPr>
              <w:t xml:space="preserve">) </w:t>
            </w:r>
          </w:p>
          <w:p w14:paraId="0FAFCCA9" w14:textId="77777777" w:rsidR="00C144B1" w:rsidRPr="00994961" w:rsidRDefault="00C144B1" w:rsidP="00C144B1">
            <w:pPr>
              <w:spacing w:after="0"/>
              <w:rPr>
                <w:b/>
                <w:sz w:val="24"/>
                <w:szCs w:val="24"/>
              </w:rPr>
            </w:pPr>
            <w:r w:rsidRPr="00994961">
              <w:rPr>
                <w:sz w:val="24"/>
                <w:szCs w:val="24"/>
              </w:rPr>
              <w:t>(Short-term, intermediate, long-term impacts – as appropriate)</w:t>
            </w:r>
          </w:p>
        </w:tc>
        <w:tc>
          <w:tcPr>
            <w:tcW w:w="3330" w:type="dxa"/>
            <w:tcBorders>
              <w:left w:val="thinThickSmallGap" w:sz="24" w:space="0" w:color="auto"/>
            </w:tcBorders>
            <w:shd w:val="clear" w:color="auto" w:fill="DBE5F1"/>
          </w:tcPr>
          <w:p w14:paraId="664B36E0" w14:textId="77777777" w:rsidR="00C144B1" w:rsidRPr="00994961" w:rsidRDefault="00C144B1" w:rsidP="00C144B1">
            <w:pPr>
              <w:spacing w:after="0"/>
              <w:rPr>
                <w:b/>
                <w:sz w:val="24"/>
                <w:szCs w:val="24"/>
              </w:rPr>
            </w:pPr>
            <w:r w:rsidRPr="00994961">
              <w:rPr>
                <w:b/>
                <w:sz w:val="24"/>
                <w:szCs w:val="24"/>
              </w:rPr>
              <w:t>Impacts;</w:t>
            </w:r>
          </w:p>
          <w:p w14:paraId="6E851427" w14:textId="77777777" w:rsidR="00C144B1" w:rsidRPr="00994961" w:rsidRDefault="00C144B1" w:rsidP="00C144B1">
            <w:pPr>
              <w:spacing w:after="0"/>
              <w:rPr>
                <w:b/>
                <w:sz w:val="24"/>
                <w:szCs w:val="24"/>
              </w:rPr>
            </w:pPr>
            <w:r w:rsidRPr="00994961">
              <w:rPr>
                <w:b/>
                <w:sz w:val="24"/>
                <w:szCs w:val="24"/>
              </w:rPr>
              <w:t>Data Supporting Impacts</w:t>
            </w:r>
          </w:p>
        </w:tc>
      </w:tr>
      <w:tr w:rsidR="00C144B1" w:rsidRPr="00C144B1" w14:paraId="37C679B6" w14:textId="77777777" w:rsidTr="00853D11">
        <w:tc>
          <w:tcPr>
            <w:tcW w:w="2700" w:type="dxa"/>
          </w:tcPr>
          <w:p w14:paraId="2B47C819" w14:textId="77777777" w:rsidR="00C144B1" w:rsidRPr="00C144B1" w:rsidRDefault="00C144B1" w:rsidP="00C144B1">
            <w:pPr>
              <w:spacing w:after="0"/>
            </w:pPr>
          </w:p>
          <w:p w14:paraId="7BD41F47" w14:textId="77777777" w:rsidR="00C144B1" w:rsidRPr="00C144B1" w:rsidRDefault="00A32ED0" w:rsidP="00C144B1">
            <w:pPr>
              <w:spacing w:after="0"/>
            </w:pPr>
            <w:r>
              <w:t xml:space="preserve">Title </w:t>
            </w:r>
            <w:r w:rsidR="00F47E47">
              <w:t>II</w:t>
            </w:r>
          </w:p>
          <w:p w14:paraId="13C0E07B" w14:textId="77777777" w:rsidR="00C144B1" w:rsidRPr="00C144B1" w:rsidRDefault="00C144B1" w:rsidP="00C144B1">
            <w:pPr>
              <w:spacing w:after="0"/>
            </w:pPr>
          </w:p>
          <w:p w14:paraId="6970818F" w14:textId="77777777" w:rsidR="00C144B1" w:rsidRPr="00C144B1" w:rsidRDefault="00C144B1" w:rsidP="00C144B1">
            <w:pPr>
              <w:spacing w:after="0"/>
            </w:pPr>
          </w:p>
          <w:p w14:paraId="1C27319A" w14:textId="77777777" w:rsidR="00C144B1" w:rsidRPr="00C144B1" w:rsidRDefault="00C144B1" w:rsidP="00C144B1">
            <w:pPr>
              <w:spacing w:after="0"/>
            </w:pPr>
          </w:p>
        </w:tc>
        <w:tc>
          <w:tcPr>
            <w:tcW w:w="3240" w:type="dxa"/>
          </w:tcPr>
          <w:p w14:paraId="26A6B4F1" w14:textId="77777777" w:rsidR="00C144B1" w:rsidRPr="00C144B1" w:rsidRDefault="00F47E47" w:rsidP="00F47E47">
            <w:pPr>
              <w:spacing w:after="0"/>
            </w:pPr>
            <w:r>
              <w:t>Challenging Curriculum.  To hire highly qualified teachers in order to reduce class size at targeted grades- especially in the lower grade levels.  Enrollment figures and principal class size data indicate that class size will need to be reduced at the K grade level at WVES and at the 4</w:t>
            </w:r>
            <w:r w:rsidRPr="009A3B5C">
              <w:rPr>
                <w:vertAlign w:val="superscript"/>
              </w:rPr>
              <w:t>th</w:t>
            </w:r>
            <w:r>
              <w:t xml:space="preserve"> grade level at WAES</w:t>
            </w:r>
          </w:p>
        </w:tc>
        <w:tc>
          <w:tcPr>
            <w:tcW w:w="4140" w:type="dxa"/>
            <w:tcBorders>
              <w:right w:val="thinThickSmallGap" w:sz="24" w:space="0" w:color="auto"/>
            </w:tcBorders>
          </w:tcPr>
          <w:p w14:paraId="64784CC7" w14:textId="77777777" w:rsidR="00C144B1" w:rsidRPr="00C144B1" w:rsidRDefault="00F47E47" w:rsidP="00F47E47">
            <w:pPr>
              <w:spacing w:after="0"/>
            </w:pPr>
            <w:r>
              <w:t xml:space="preserve">At the start of the 2020-2021 school year enrollment data reports collected by the </w:t>
            </w:r>
            <w:r w:rsidR="005043DB">
              <w:t>principals</w:t>
            </w:r>
            <w:r>
              <w:t xml:space="preserve"> indicate a need for reduced class size number in grades K and fourth grade.  The teachers that will be designated as “Class Size Reduction Units” will be qualified as the definition relates to the “ESSA.”</w:t>
            </w:r>
          </w:p>
        </w:tc>
        <w:tc>
          <w:tcPr>
            <w:tcW w:w="3330" w:type="dxa"/>
            <w:tcBorders>
              <w:left w:val="thinThickSmallGap" w:sz="24" w:space="0" w:color="auto"/>
            </w:tcBorders>
          </w:tcPr>
          <w:p w14:paraId="5482210A" w14:textId="688B7350" w:rsidR="00C144B1" w:rsidRDefault="00766149" w:rsidP="00C144B1">
            <w:pPr>
              <w:spacing w:after="0"/>
            </w:pPr>
            <w:r>
              <w:t>Class size reduction units were placed at the K level at WVES and at the 4</w:t>
            </w:r>
            <w:r w:rsidRPr="00766149">
              <w:rPr>
                <w:vertAlign w:val="superscript"/>
              </w:rPr>
              <w:t>th</w:t>
            </w:r>
            <w:r>
              <w:t xml:space="preserve"> grade level at WVES:   Title II evaluation Results:</w:t>
            </w:r>
          </w:p>
          <w:p w14:paraId="48D3AD43" w14:textId="1FC8CF5E" w:rsidR="00403470" w:rsidRDefault="00403470" w:rsidP="00C144B1">
            <w:pPr>
              <w:spacing w:after="0"/>
            </w:pPr>
            <w:r>
              <w:t>98.1 % agreed that CS reduction units were beneficial to students in the classroom at WVES.</w:t>
            </w:r>
          </w:p>
          <w:p w14:paraId="32175450" w14:textId="63B6CCCD" w:rsidR="00403470" w:rsidRDefault="00403470" w:rsidP="00403470">
            <w:pPr>
              <w:spacing w:after="0"/>
            </w:pPr>
            <w:r>
              <w:t>100 % agreed that CS reduction units were beneficial to students in the classroom at WAES.</w:t>
            </w:r>
          </w:p>
          <w:p w14:paraId="75C7FA4C" w14:textId="77777777" w:rsidR="00403470" w:rsidRDefault="00403470" w:rsidP="00C144B1">
            <w:pPr>
              <w:spacing w:after="0"/>
            </w:pPr>
          </w:p>
          <w:p w14:paraId="76265637" w14:textId="30C018BF" w:rsidR="00766149" w:rsidRPr="00C144B1" w:rsidRDefault="00766149" w:rsidP="00C144B1">
            <w:pPr>
              <w:spacing w:after="0"/>
            </w:pPr>
          </w:p>
        </w:tc>
      </w:tr>
      <w:tr w:rsidR="00C144B1" w:rsidRPr="00C144B1" w14:paraId="09292227" w14:textId="77777777" w:rsidTr="00853D11">
        <w:tc>
          <w:tcPr>
            <w:tcW w:w="2700" w:type="dxa"/>
          </w:tcPr>
          <w:p w14:paraId="54380D2A" w14:textId="77777777" w:rsidR="00C144B1" w:rsidRPr="00C144B1" w:rsidRDefault="00C144B1" w:rsidP="00C144B1">
            <w:pPr>
              <w:spacing w:after="0"/>
            </w:pPr>
          </w:p>
          <w:p w14:paraId="055DDA21" w14:textId="77777777" w:rsidR="00C144B1" w:rsidRPr="00C144B1" w:rsidRDefault="00C144B1" w:rsidP="00C144B1">
            <w:pPr>
              <w:spacing w:after="0"/>
            </w:pPr>
          </w:p>
          <w:p w14:paraId="7C85DD9B" w14:textId="77777777" w:rsidR="00C144B1" w:rsidRPr="00C144B1" w:rsidRDefault="00C144B1" w:rsidP="00C144B1">
            <w:pPr>
              <w:spacing w:after="0"/>
            </w:pPr>
          </w:p>
          <w:p w14:paraId="3693774C" w14:textId="77777777" w:rsidR="00C144B1" w:rsidRPr="00C144B1" w:rsidRDefault="00C144B1" w:rsidP="00C144B1">
            <w:pPr>
              <w:spacing w:after="0"/>
            </w:pPr>
          </w:p>
          <w:p w14:paraId="52547F57" w14:textId="77777777" w:rsidR="00C144B1" w:rsidRPr="00C144B1" w:rsidRDefault="00C144B1" w:rsidP="00C144B1">
            <w:pPr>
              <w:spacing w:after="0"/>
            </w:pPr>
          </w:p>
        </w:tc>
        <w:tc>
          <w:tcPr>
            <w:tcW w:w="3240" w:type="dxa"/>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024"/>
            </w:tblGrid>
            <w:tr w:rsidR="005043DB" w:rsidRPr="005043DB" w14:paraId="4A234080" w14:textId="77777777" w:rsidTr="005043DB">
              <w:trPr>
                <w:tblCellSpacing w:w="15" w:type="dxa"/>
              </w:trPr>
              <w:tc>
                <w:tcPr>
                  <w:tcW w:w="0" w:type="auto"/>
                  <w:vAlign w:val="center"/>
                  <w:hideMark/>
                </w:tcPr>
                <w:p w14:paraId="0EA6198E" w14:textId="77777777" w:rsidR="005043DB" w:rsidRPr="005043DB" w:rsidRDefault="005043DB" w:rsidP="005043DB">
                  <w:pPr>
                    <w:spacing w:after="0" w:line="240" w:lineRule="auto"/>
                    <w:rPr>
                      <w:rFonts w:ascii="Times New Roman" w:eastAsia="Times New Roman" w:hAnsi="Times New Roman" w:cs="Times New Roman"/>
                      <w:sz w:val="24"/>
                      <w:szCs w:val="24"/>
                    </w:rPr>
                  </w:pPr>
                  <w:r w:rsidRPr="005043DB">
                    <w:rPr>
                      <w:rFonts w:ascii="Times New Roman" w:eastAsia="Times New Roman" w:hAnsi="Times New Roman" w:cs="Times New Roman"/>
                      <w:sz w:val="24"/>
                      <w:szCs w:val="24"/>
                    </w:rPr>
                    <w:t>Teachers will be provided professional development opportunities and in-service as it relates to the system-wide needs assessment of professional development in reading (MSLE Orton Gillingham professional development for all K-3 reading teachers) (2215), Monies will be set aside to pay cost of professional development activities for K-</w:t>
                  </w:r>
                  <w:r w:rsidRPr="005043DB">
                    <w:rPr>
                      <w:rFonts w:ascii="Times New Roman" w:eastAsia="Times New Roman" w:hAnsi="Times New Roman" w:cs="Times New Roman"/>
                      <w:sz w:val="24"/>
                      <w:szCs w:val="24"/>
                    </w:rPr>
                    <w:lastRenderedPageBreak/>
                    <w:t xml:space="preserve">3 reading teachers, at a cost of 33,661.00 in professional development cost. </w:t>
                  </w:r>
                </w:p>
                <w:p w14:paraId="152F141C" w14:textId="77777777" w:rsidR="005043DB" w:rsidRPr="005043DB" w:rsidRDefault="005043DB" w:rsidP="005043DB">
                  <w:pPr>
                    <w:spacing w:after="0" w:line="240" w:lineRule="auto"/>
                    <w:rPr>
                      <w:rFonts w:ascii="Times New Roman" w:eastAsia="Times New Roman" w:hAnsi="Times New Roman" w:cs="Times New Roman"/>
                      <w:sz w:val="24"/>
                      <w:szCs w:val="24"/>
                    </w:rPr>
                  </w:pPr>
                </w:p>
              </w:tc>
            </w:tr>
          </w:tbl>
          <w:p w14:paraId="456E4F88" w14:textId="77777777" w:rsidR="00C144B1" w:rsidRPr="00C144B1" w:rsidRDefault="00C144B1" w:rsidP="00C144B1">
            <w:pPr>
              <w:spacing w:after="0"/>
            </w:pPr>
          </w:p>
        </w:tc>
        <w:tc>
          <w:tcPr>
            <w:tcW w:w="4140" w:type="dxa"/>
            <w:tcBorders>
              <w:right w:val="thinThickSmallGap" w:sz="24" w:space="0" w:color="auto"/>
            </w:tcBorders>
          </w:tcPr>
          <w:p w14:paraId="33EDF6DD" w14:textId="77777777" w:rsidR="005043DB" w:rsidRPr="005043DB" w:rsidRDefault="005043DB" w:rsidP="005043DB">
            <w:pPr>
              <w:spacing w:after="0" w:line="240" w:lineRule="auto"/>
              <w:rPr>
                <w:rFonts w:ascii="Times New Roman" w:eastAsia="Times New Roman" w:hAnsi="Times New Roman" w:cs="Times New Roman"/>
                <w:sz w:val="24"/>
                <w:szCs w:val="24"/>
              </w:rPr>
            </w:pPr>
            <w:r w:rsidRPr="005043DB">
              <w:rPr>
                <w:rFonts w:ascii="Times New Roman" w:eastAsia="Times New Roman" w:hAnsi="Times New Roman" w:cs="Times New Roman"/>
                <w:sz w:val="24"/>
                <w:szCs w:val="24"/>
              </w:rPr>
              <w:lastRenderedPageBreak/>
              <w:t xml:space="preserve">Individuals attending professional development activities will complete evaluations to give feedback on the effectiveness of the training. Central Office staff and school leadership team members will conduct walkthroughs and classroom observations during the FY 21 school year to observe the effectiveness and implementation of MSLE strategies in the K-3 classrooms. </w:t>
            </w:r>
          </w:p>
          <w:p w14:paraId="4B2449B0" w14:textId="77777777" w:rsidR="00C144B1" w:rsidRPr="00C144B1" w:rsidRDefault="00C144B1" w:rsidP="00C144B1">
            <w:pPr>
              <w:spacing w:after="0"/>
            </w:pPr>
          </w:p>
        </w:tc>
        <w:tc>
          <w:tcPr>
            <w:tcW w:w="3330" w:type="dxa"/>
            <w:tcBorders>
              <w:left w:val="thinThickSmallGap" w:sz="24" w:space="0" w:color="auto"/>
            </w:tcBorders>
          </w:tcPr>
          <w:p w14:paraId="4A2BB0C4" w14:textId="7668FEC6" w:rsidR="00C144B1" w:rsidRPr="00C144B1" w:rsidRDefault="00766149" w:rsidP="00C144B1">
            <w:pPr>
              <w:spacing w:after="0"/>
            </w:pPr>
            <w:r>
              <w:t xml:space="preserve">All reading teachers and incoming teachers completed OG training in the summer of 2021 and implementation is currently occurring in the classroom.   Reading coaches and specialist are evaluating staff implementation through coaching cycles and walk throughs.  </w:t>
            </w:r>
          </w:p>
        </w:tc>
      </w:tr>
      <w:tr w:rsidR="00C144B1" w:rsidRPr="00C144B1" w14:paraId="39EA0BB7" w14:textId="77777777" w:rsidTr="00853D11">
        <w:tc>
          <w:tcPr>
            <w:tcW w:w="2700" w:type="dxa"/>
          </w:tcPr>
          <w:p w14:paraId="0A0FE892" w14:textId="77777777" w:rsidR="00C144B1" w:rsidRPr="00C144B1" w:rsidRDefault="00C144B1" w:rsidP="00C144B1">
            <w:pPr>
              <w:spacing w:after="0"/>
            </w:pPr>
          </w:p>
          <w:p w14:paraId="1F59D792" w14:textId="77777777" w:rsidR="00C144B1" w:rsidRPr="00C144B1" w:rsidRDefault="00C144B1" w:rsidP="00C144B1">
            <w:pPr>
              <w:spacing w:after="0"/>
            </w:pPr>
          </w:p>
          <w:p w14:paraId="54AFCE29" w14:textId="77777777" w:rsidR="00C144B1" w:rsidRPr="00C144B1" w:rsidRDefault="00C144B1" w:rsidP="00C144B1">
            <w:pPr>
              <w:spacing w:after="0"/>
            </w:pPr>
          </w:p>
          <w:p w14:paraId="7784D7BA" w14:textId="77777777" w:rsidR="00C144B1" w:rsidRPr="00C144B1" w:rsidRDefault="00C144B1" w:rsidP="00C144B1">
            <w:pPr>
              <w:spacing w:after="0"/>
            </w:pPr>
          </w:p>
          <w:p w14:paraId="3E54FCCC" w14:textId="77777777" w:rsidR="00C144B1" w:rsidRPr="00C144B1" w:rsidRDefault="00C144B1" w:rsidP="00C144B1">
            <w:pPr>
              <w:spacing w:after="0"/>
            </w:pPr>
          </w:p>
        </w:tc>
        <w:tc>
          <w:tcPr>
            <w:tcW w:w="3240" w:type="dxa"/>
          </w:tcPr>
          <w:p w14:paraId="5D72EC42" w14:textId="77777777" w:rsidR="00C144B1" w:rsidRPr="00C144B1" w:rsidRDefault="00C144B1" w:rsidP="00C144B1">
            <w:pPr>
              <w:spacing w:after="0"/>
            </w:pPr>
          </w:p>
        </w:tc>
        <w:tc>
          <w:tcPr>
            <w:tcW w:w="4140" w:type="dxa"/>
            <w:tcBorders>
              <w:right w:val="thinThickSmallGap" w:sz="24" w:space="0" w:color="auto"/>
            </w:tcBorders>
          </w:tcPr>
          <w:p w14:paraId="1CDE8B20" w14:textId="77777777" w:rsidR="00C144B1" w:rsidRPr="00C144B1" w:rsidRDefault="00C144B1" w:rsidP="00C144B1">
            <w:pPr>
              <w:spacing w:after="0"/>
            </w:pPr>
          </w:p>
        </w:tc>
        <w:tc>
          <w:tcPr>
            <w:tcW w:w="3330" w:type="dxa"/>
            <w:tcBorders>
              <w:left w:val="thinThickSmallGap" w:sz="24" w:space="0" w:color="auto"/>
            </w:tcBorders>
          </w:tcPr>
          <w:p w14:paraId="208C1ABA" w14:textId="77777777" w:rsidR="00C144B1" w:rsidRPr="00C144B1" w:rsidRDefault="00C144B1" w:rsidP="00C144B1">
            <w:pPr>
              <w:spacing w:after="0"/>
            </w:pPr>
          </w:p>
        </w:tc>
      </w:tr>
      <w:tr w:rsidR="00C144B1" w:rsidRPr="00C144B1" w14:paraId="68DFB57F" w14:textId="77777777" w:rsidTr="00853D11">
        <w:tc>
          <w:tcPr>
            <w:tcW w:w="2700" w:type="dxa"/>
          </w:tcPr>
          <w:p w14:paraId="62D04385" w14:textId="77777777" w:rsidR="00C144B1" w:rsidRPr="00C144B1" w:rsidRDefault="00C144B1" w:rsidP="00C144B1">
            <w:pPr>
              <w:spacing w:after="0"/>
            </w:pPr>
          </w:p>
          <w:p w14:paraId="6ABB2F90" w14:textId="77777777" w:rsidR="00C144B1" w:rsidRPr="00C144B1" w:rsidRDefault="00C144B1" w:rsidP="00C144B1">
            <w:pPr>
              <w:spacing w:after="0"/>
            </w:pPr>
          </w:p>
          <w:p w14:paraId="2A1C96E2" w14:textId="77777777" w:rsidR="00C144B1" w:rsidRPr="00C144B1" w:rsidRDefault="00C144B1" w:rsidP="00C144B1">
            <w:pPr>
              <w:spacing w:after="0"/>
            </w:pPr>
          </w:p>
          <w:p w14:paraId="25D52156" w14:textId="77777777" w:rsidR="00C144B1" w:rsidRPr="00C144B1" w:rsidRDefault="00C144B1" w:rsidP="00C144B1">
            <w:pPr>
              <w:spacing w:after="0"/>
            </w:pPr>
          </w:p>
          <w:p w14:paraId="7C6CB3C9" w14:textId="77777777" w:rsidR="00C144B1" w:rsidRPr="00C144B1" w:rsidRDefault="00C144B1" w:rsidP="00C144B1">
            <w:pPr>
              <w:spacing w:after="0"/>
            </w:pPr>
          </w:p>
        </w:tc>
        <w:tc>
          <w:tcPr>
            <w:tcW w:w="3240" w:type="dxa"/>
          </w:tcPr>
          <w:p w14:paraId="713A1429" w14:textId="77777777" w:rsidR="00C144B1" w:rsidRPr="00C144B1" w:rsidRDefault="00C144B1" w:rsidP="00C144B1">
            <w:pPr>
              <w:spacing w:after="0"/>
            </w:pPr>
          </w:p>
        </w:tc>
        <w:tc>
          <w:tcPr>
            <w:tcW w:w="4140" w:type="dxa"/>
            <w:tcBorders>
              <w:right w:val="thinThickSmallGap" w:sz="24" w:space="0" w:color="auto"/>
            </w:tcBorders>
          </w:tcPr>
          <w:p w14:paraId="5C2469B2" w14:textId="77777777" w:rsidR="00C144B1" w:rsidRPr="00C144B1" w:rsidRDefault="00C144B1" w:rsidP="00C144B1">
            <w:pPr>
              <w:spacing w:after="0"/>
            </w:pPr>
          </w:p>
        </w:tc>
        <w:tc>
          <w:tcPr>
            <w:tcW w:w="3330" w:type="dxa"/>
            <w:tcBorders>
              <w:left w:val="thinThickSmallGap" w:sz="24" w:space="0" w:color="auto"/>
            </w:tcBorders>
          </w:tcPr>
          <w:p w14:paraId="7BF7B4CA" w14:textId="77777777" w:rsidR="00C144B1" w:rsidRPr="00C144B1" w:rsidRDefault="00C144B1" w:rsidP="00C144B1">
            <w:pPr>
              <w:spacing w:after="0"/>
            </w:pPr>
          </w:p>
        </w:tc>
      </w:tr>
    </w:tbl>
    <w:p w14:paraId="6942BCC0" w14:textId="77777777" w:rsidR="008D3F5C" w:rsidRDefault="008D3F5C" w:rsidP="00853D11"/>
    <w:sectPr w:rsidR="008D3F5C" w:rsidSect="00853D11">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B1"/>
    <w:rsid w:val="000F45F2"/>
    <w:rsid w:val="00403470"/>
    <w:rsid w:val="005043DB"/>
    <w:rsid w:val="00766149"/>
    <w:rsid w:val="00853D11"/>
    <w:rsid w:val="008D3F5C"/>
    <w:rsid w:val="009028A9"/>
    <w:rsid w:val="0093194C"/>
    <w:rsid w:val="00994961"/>
    <w:rsid w:val="00A32ED0"/>
    <w:rsid w:val="00C144B1"/>
    <w:rsid w:val="00F47E47"/>
    <w:rsid w:val="00F6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5F8D"/>
  <w15:docId w15:val="{8541397E-94DB-4C81-81DC-A1B346A8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991482">
      <w:bodyDiv w:val="1"/>
      <w:marLeft w:val="0"/>
      <w:marRight w:val="0"/>
      <w:marTop w:val="0"/>
      <w:marBottom w:val="0"/>
      <w:divBdr>
        <w:top w:val="none" w:sz="0" w:space="0" w:color="auto"/>
        <w:left w:val="none" w:sz="0" w:space="0" w:color="auto"/>
        <w:bottom w:val="none" w:sz="0" w:space="0" w:color="auto"/>
        <w:right w:val="none" w:sz="0" w:space="0" w:color="auto"/>
      </w:divBdr>
      <w:divsChild>
        <w:div w:id="920984934">
          <w:marLeft w:val="0"/>
          <w:marRight w:val="0"/>
          <w:marTop w:val="0"/>
          <w:marBottom w:val="0"/>
          <w:divBdr>
            <w:top w:val="none" w:sz="0" w:space="0" w:color="auto"/>
            <w:left w:val="none" w:sz="0" w:space="0" w:color="auto"/>
            <w:bottom w:val="none" w:sz="0" w:space="0" w:color="auto"/>
            <w:right w:val="none" w:sz="0" w:space="0" w:color="auto"/>
          </w:divBdr>
          <w:divsChild>
            <w:div w:id="999694253">
              <w:marLeft w:val="0"/>
              <w:marRight w:val="0"/>
              <w:marTop w:val="0"/>
              <w:marBottom w:val="0"/>
              <w:divBdr>
                <w:top w:val="none" w:sz="0" w:space="0" w:color="auto"/>
                <w:left w:val="none" w:sz="0" w:space="0" w:color="auto"/>
                <w:bottom w:val="none" w:sz="0" w:space="0" w:color="auto"/>
                <w:right w:val="none" w:sz="0" w:space="0" w:color="auto"/>
              </w:divBdr>
              <w:divsChild>
                <w:div w:id="142813505">
                  <w:marLeft w:val="0"/>
                  <w:marRight w:val="0"/>
                  <w:marTop w:val="0"/>
                  <w:marBottom w:val="0"/>
                  <w:divBdr>
                    <w:top w:val="none" w:sz="0" w:space="0" w:color="auto"/>
                    <w:left w:val="none" w:sz="0" w:space="0" w:color="auto"/>
                    <w:bottom w:val="none" w:sz="0" w:space="0" w:color="auto"/>
                    <w:right w:val="none" w:sz="0" w:space="0" w:color="auto"/>
                  </w:divBdr>
                  <w:divsChild>
                    <w:div w:id="687219384">
                      <w:marLeft w:val="0"/>
                      <w:marRight w:val="0"/>
                      <w:marTop w:val="0"/>
                      <w:marBottom w:val="0"/>
                      <w:divBdr>
                        <w:top w:val="none" w:sz="0" w:space="0" w:color="auto"/>
                        <w:left w:val="none" w:sz="0" w:space="0" w:color="auto"/>
                        <w:bottom w:val="none" w:sz="0" w:space="0" w:color="auto"/>
                        <w:right w:val="none" w:sz="0" w:space="0" w:color="auto"/>
                      </w:divBdr>
                      <w:divsChild>
                        <w:div w:id="110783957">
                          <w:marLeft w:val="0"/>
                          <w:marRight w:val="0"/>
                          <w:marTop w:val="0"/>
                          <w:marBottom w:val="0"/>
                          <w:divBdr>
                            <w:top w:val="none" w:sz="0" w:space="0" w:color="auto"/>
                            <w:left w:val="none" w:sz="0" w:space="0" w:color="auto"/>
                            <w:bottom w:val="none" w:sz="0" w:space="0" w:color="auto"/>
                            <w:right w:val="none" w:sz="0" w:space="0" w:color="auto"/>
                          </w:divBdr>
                          <w:divsChild>
                            <w:div w:id="802581532">
                              <w:marLeft w:val="0"/>
                              <w:marRight w:val="0"/>
                              <w:marTop w:val="0"/>
                              <w:marBottom w:val="0"/>
                              <w:divBdr>
                                <w:top w:val="none" w:sz="0" w:space="0" w:color="auto"/>
                                <w:left w:val="none" w:sz="0" w:space="0" w:color="auto"/>
                                <w:bottom w:val="none" w:sz="0" w:space="0" w:color="auto"/>
                                <w:right w:val="none" w:sz="0" w:space="0" w:color="auto"/>
                              </w:divBdr>
                              <w:divsChild>
                                <w:div w:id="2089884758">
                                  <w:marLeft w:val="0"/>
                                  <w:marRight w:val="0"/>
                                  <w:marTop w:val="0"/>
                                  <w:marBottom w:val="0"/>
                                  <w:divBdr>
                                    <w:top w:val="none" w:sz="0" w:space="0" w:color="auto"/>
                                    <w:left w:val="none" w:sz="0" w:space="0" w:color="auto"/>
                                    <w:bottom w:val="none" w:sz="0" w:space="0" w:color="auto"/>
                                    <w:right w:val="none" w:sz="0" w:space="0" w:color="auto"/>
                                  </w:divBdr>
                                  <w:divsChild>
                                    <w:div w:id="361827495">
                                      <w:marLeft w:val="0"/>
                                      <w:marRight w:val="0"/>
                                      <w:marTop w:val="0"/>
                                      <w:marBottom w:val="0"/>
                                      <w:divBdr>
                                        <w:top w:val="none" w:sz="0" w:space="0" w:color="auto"/>
                                        <w:left w:val="none" w:sz="0" w:space="0" w:color="auto"/>
                                        <w:bottom w:val="none" w:sz="0" w:space="0" w:color="auto"/>
                                        <w:right w:val="none" w:sz="0" w:space="0" w:color="auto"/>
                                      </w:divBdr>
                                      <w:divsChild>
                                        <w:div w:id="1905141953">
                                          <w:marLeft w:val="0"/>
                                          <w:marRight w:val="0"/>
                                          <w:marTop w:val="0"/>
                                          <w:marBottom w:val="0"/>
                                          <w:divBdr>
                                            <w:top w:val="none" w:sz="0" w:space="0" w:color="auto"/>
                                            <w:left w:val="none" w:sz="0" w:space="0" w:color="auto"/>
                                            <w:bottom w:val="none" w:sz="0" w:space="0" w:color="auto"/>
                                            <w:right w:val="none" w:sz="0" w:space="0" w:color="auto"/>
                                          </w:divBdr>
                                          <w:divsChild>
                                            <w:div w:id="1325620373">
                                              <w:marLeft w:val="0"/>
                                              <w:marRight w:val="0"/>
                                              <w:marTop w:val="0"/>
                                              <w:marBottom w:val="0"/>
                                              <w:divBdr>
                                                <w:top w:val="none" w:sz="0" w:space="0" w:color="auto"/>
                                                <w:left w:val="none" w:sz="0" w:space="0" w:color="auto"/>
                                                <w:bottom w:val="none" w:sz="0" w:space="0" w:color="auto"/>
                                                <w:right w:val="none" w:sz="0" w:space="0" w:color="auto"/>
                                              </w:divBdr>
                                              <w:divsChild>
                                                <w:div w:id="1612203606">
                                                  <w:marLeft w:val="0"/>
                                                  <w:marRight w:val="0"/>
                                                  <w:marTop w:val="0"/>
                                                  <w:marBottom w:val="0"/>
                                                  <w:divBdr>
                                                    <w:top w:val="none" w:sz="0" w:space="0" w:color="auto"/>
                                                    <w:left w:val="none" w:sz="0" w:space="0" w:color="auto"/>
                                                    <w:bottom w:val="none" w:sz="0" w:space="0" w:color="auto"/>
                                                    <w:right w:val="none" w:sz="0" w:space="0" w:color="auto"/>
                                                  </w:divBdr>
                                                  <w:divsChild>
                                                    <w:div w:id="1090276383">
                                                      <w:marLeft w:val="0"/>
                                                      <w:marRight w:val="0"/>
                                                      <w:marTop w:val="0"/>
                                                      <w:marBottom w:val="0"/>
                                                      <w:divBdr>
                                                        <w:top w:val="none" w:sz="0" w:space="0" w:color="auto"/>
                                                        <w:left w:val="none" w:sz="0" w:space="0" w:color="auto"/>
                                                        <w:bottom w:val="none" w:sz="0" w:space="0" w:color="auto"/>
                                                        <w:right w:val="none" w:sz="0" w:space="0" w:color="auto"/>
                                                      </w:divBdr>
                                                    </w:div>
                                                  </w:divsChild>
                                                </w:div>
                                                <w:div w:id="769088850">
                                                  <w:marLeft w:val="0"/>
                                                  <w:marRight w:val="0"/>
                                                  <w:marTop w:val="0"/>
                                                  <w:marBottom w:val="0"/>
                                                  <w:divBdr>
                                                    <w:top w:val="none" w:sz="0" w:space="0" w:color="auto"/>
                                                    <w:left w:val="none" w:sz="0" w:space="0" w:color="auto"/>
                                                    <w:bottom w:val="none" w:sz="0" w:space="0" w:color="auto"/>
                                                    <w:right w:val="none" w:sz="0" w:space="0" w:color="auto"/>
                                                  </w:divBdr>
                                                  <w:divsChild>
                                                    <w:div w:id="2025549673">
                                                      <w:marLeft w:val="0"/>
                                                      <w:marRight w:val="0"/>
                                                      <w:marTop w:val="0"/>
                                                      <w:marBottom w:val="0"/>
                                                      <w:divBdr>
                                                        <w:top w:val="none" w:sz="0" w:space="0" w:color="auto"/>
                                                        <w:left w:val="none" w:sz="0" w:space="0" w:color="auto"/>
                                                        <w:bottom w:val="none" w:sz="0" w:space="0" w:color="auto"/>
                                                        <w:right w:val="none" w:sz="0" w:space="0" w:color="auto"/>
                                                      </w:divBdr>
                                                    </w:div>
                                                  </w:divsChild>
                                                </w:div>
                                                <w:div w:id="7996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Mary Rose</dc:creator>
  <cp:lastModifiedBy>Jessica Hayes</cp:lastModifiedBy>
  <cp:revision>2</cp:revision>
  <cp:lastPrinted>2013-07-26T19:03:00Z</cp:lastPrinted>
  <dcterms:created xsi:type="dcterms:W3CDTF">2022-03-21T15:57:00Z</dcterms:created>
  <dcterms:modified xsi:type="dcterms:W3CDTF">2022-03-21T15:57:00Z</dcterms:modified>
</cp:coreProperties>
</file>