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5476" w14:textId="1D266AC1" w:rsidR="00C144B1" w:rsidRDefault="00C144B1" w:rsidP="00C144B1">
      <w:pPr>
        <w:jc w:val="center"/>
        <w:rPr>
          <w:b/>
          <w:sz w:val="32"/>
          <w:szCs w:val="32"/>
        </w:rPr>
      </w:pPr>
      <w:bookmarkStart w:id="0" w:name="_GoBack"/>
      <w:bookmarkEnd w:id="0"/>
      <w:r w:rsidRPr="00C144B1">
        <w:rPr>
          <w:b/>
          <w:sz w:val="32"/>
          <w:szCs w:val="32"/>
        </w:rPr>
        <w:t>LEA</w:t>
      </w:r>
      <w:r w:rsidR="00853D11">
        <w:rPr>
          <w:b/>
          <w:sz w:val="32"/>
          <w:szCs w:val="32"/>
        </w:rPr>
        <w:t>:</w:t>
      </w:r>
      <w:r w:rsidR="00C4081A">
        <w:rPr>
          <w:b/>
          <w:sz w:val="32"/>
          <w:szCs w:val="32"/>
        </w:rPr>
        <w:t xml:space="preserve"> </w:t>
      </w:r>
      <w:r w:rsidR="00C4081A" w:rsidRPr="00C4081A">
        <w:rPr>
          <w:b/>
          <w:sz w:val="32"/>
          <w:szCs w:val="32"/>
          <w:u w:val="single"/>
        </w:rPr>
        <w:t>Fort Payne City Schools</w:t>
      </w:r>
    </w:p>
    <w:p w14:paraId="0FC50EF5" w14:textId="3BB41001" w:rsidR="00853D11" w:rsidRPr="00C144B1" w:rsidRDefault="00853D11" w:rsidP="00C144B1">
      <w:pPr>
        <w:jc w:val="center"/>
        <w:rPr>
          <w:b/>
          <w:sz w:val="32"/>
          <w:szCs w:val="32"/>
        </w:rPr>
      </w:pPr>
      <w:r>
        <w:rPr>
          <w:b/>
          <w:sz w:val="32"/>
          <w:szCs w:val="32"/>
        </w:rPr>
        <w:t>PROGRAM:</w:t>
      </w:r>
      <w:r w:rsidR="00C4081A">
        <w:rPr>
          <w:b/>
          <w:sz w:val="32"/>
          <w:szCs w:val="32"/>
        </w:rPr>
        <w:t xml:space="preserve"> </w:t>
      </w:r>
      <w:r w:rsidR="00C4081A" w:rsidRPr="00C4081A">
        <w:rPr>
          <w:b/>
          <w:sz w:val="32"/>
          <w:szCs w:val="32"/>
          <w:u w:val="single"/>
        </w:rPr>
        <w:t>Title I</w:t>
      </w:r>
      <w:r>
        <w:rPr>
          <w:b/>
          <w:sz w:val="32"/>
          <w:szCs w:val="32"/>
        </w:rPr>
        <w:t xml:space="preserve">       FY:</w:t>
      </w:r>
      <w:r w:rsidR="00C4081A">
        <w:rPr>
          <w:b/>
          <w:sz w:val="32"/>
          <w:szCs w:val="32"/>
        </w:rPr>
        <w:t xml:space="preserve"> </w:t>
      </w:r>
      <w:r w:rsidR="00C4081A" w:rsidRPr="00C4081A">
        <w:rPr>
          <w:b/>
          <w:sz w:val="32"/>
          <w:szCs w:val="32"/>
          <w:u w:val="single"/>
        </w:rPr>
        <w:t>2022</w:t>
      </w:r>
    </w:p>
    <w:p w14:paraId="15DB898D" w14:textId="77777777" w:rsidR="00C144B1" w:rsidRPr="00C144B1" w:rsidRDefault="00C144B1" w:rsidP="00C144B1">
      <w:pPr>
        <w:jc w:val="center"/>
        <w:rPr>
          <w:b/>
          <w:sz w:val="32"/>
          <w:szCs w:val="32"/>
        </w:rPr>
      </w:pPr>
    </w:p>
    <w:p w14:paraId="223890B6" w14:textId="77777777" w:rsidR="00C144B1" w:rsidRPr="00C144B1" w:rsidRDefault="00C144B1" w:rsidP="00C144B1">
      <w:pPr>
        <w:jc w:val="center"/>
        <w:rPr>
          <w:b/>
          <w:sz w:val="32"/>
          <w:szCs w:val="32"/>
        </w:rPr>
      </w:pPr>
      <w:r w:rsidRPr="00C144B1">
        <w:rPr>
          <w:b/>
          <w:sz w:val="32"/>
          <w:szCs w:val="32"/>
        </w:rPr>
        <w:t>Program Evaluation Planning and Reporting Template</w:t>
      </w:r>
    </w:p>
    <w:tbl>
      <w:tblPr>
        <w:tblW w:w="1341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00"/>
        <w:gridCol w:w="3240"/>
        <w:gridCol w:w="4140"/>
        <w:gridCol w:w="3330"/>
      </w:tblGrid>
      <w:tr w:rsidR="00C144B1" w:rsidRPr="00C144B1" w14:paraId="401F7BD7" w14:textId="77777777" w:rsidTr="00853D11">
        <w:tc>
          <w:tcPr>
            <w:tcW w:w="10080" w:type="dxa"/>
            <w:gridSpan w:val="3"/>
            <w:tcBorders>
              <w:right w:val="thinThickSmallGap" w:sz="24" w:space="0" w:color="auto"/>
            </w:tcBorders>
            <w:shd w:val="clear" w:color="auto" w:fill="B8CCE4"/>
          </w:tcPr>
          <w:p w14:paraId="6F144937" w14:textId="77777777" w:rsidR="00C144B1" w:rsidRPr="00853D11" w:rsidRDefault="00C144B1" w:rsidP="00C144B1">
            <w:pPr>
              <w:spacing w:after="0"/>
              <w:rPr>
                <w:b/>
                <w:sz w:val="28"/>
                <w:szCs w:val="28"/>
              </w:rPr>
            </w:pPr>
            <w:r w:rsidRPr="00853D11">
              <w:rPr>
                <w:b/>
                <w:sz w:val="28"/>
                <w:szCs w:val="28"/>
              </w:rPr>
              <w:t>Planning</w:t>
            </w:r>
          </w:p>
        </w:tc>
        <w:tc>
          <w:tcPr>
            <w:tcW w:w="3330" w:type="dxa"/>
            <w:tcBorders>
              <w:left w:val="thinThickSmallGap" w:sz="24" w:space="0" w:color="auto"/>
            </w:tcBorders>
            <w:shd w:val="clear" w:color="auto" w:fill="B8CCE4"/>
          </w:tcPr>
          <w:p w14:paraId="7849BE89" w14:textId="77777777" w:rsidR="00C144B1" w:rsidRPr="00853D11" w:rsidRDefault="00C144B1" w:rsidP="00C144B1">
            <w:pPr>
              <w:spacing w:after="0"/>
              <w:rPr>
                <w:b/>
                <w:sz w:val="28"/>
                <w:szCs w:val="28"/>
              </w:rPr>
            </w:pPr>
            <w:r w:rsidRPr="00853D11">
              <w:rPr>
                <w:b/>
                <w:sz w:val="28"/>
                <w:szCs w:val="28"/>
              </w:rPr>
              <w:t>End-of-the-Year Results</w:t>
            </w:r>
          </w:p>
        </w:tc>
      </w:tr>
      <w:tr w:rsidR="00C144B1" w:rsidRPr="00C144B1" w14:paraId="3D1CD277" w14:textId="77777777" w:rsidTr="00853D11">
        <w:tc>
          <w:tcPr>
            <w:tcW w:w="2700" w:type="dxa"/>
            <w:shd w:val="clear" w:color="auto" w:fill="DBE5F1"/>
          </w:tcPr>
          <w:p w14:paraId="12DEBA81" w14:textId="77777777" w:rsidR="00C144B1" w:rsidRPr="00994961" w:rsidRDefault="00C144B1" w:rsidP="00C144B1">
            <w:pPr>
              <w:spacing w:after="0"/>
              <w:rPr>
                <w:b/>
                <w:sz w:val="24"/>
                <w:szCs w:val="24"/>
              </w:rPr>
            </w:pPr>
            <w:r w:rsidRPr="00994961">
              <w:rPr>
                <w:b/>
                <w:sz w:val="24"/>
                <w:szCs w:val="24"/>
              </w:rPr>
              <w:t>Fund Source(s)</w:t>
            </w:r>
          </w:p>
        </w:tc>
        <w:tc>
          <w:tcPr>
            <w:tcW w:w="3240" w:type="dxa"/>
            <w:shd w:val="clear" w:color="auto" w:fill="DBE5F1"/>
          </w:tcPr>
          <w:p w14:paraId="05A5A0B6" w14:textId="77777777" w:rsidR="00C144B1" w:rsidRPr="00994961" w:rsidRDefault="00C144B1" w:rsidP="00C144B1">
            <w:pPr>
              <w:spacing w:after="0"/>
              <w:rPr>
                <w:b/>
                <w:sz w:val="24"/>
                <w:szCs w:val="24"/>
              </w:rPr>
            </w:pPr>
            <w:r w:rsidRPr="00994961">
              <w:rPr>
                <w:b/>
                <w:sz w:val="24"/>
                <w:szCs w:val="24"/>
              </w:rPr>
              <w:t xml:space="preserve">Key Strategies/ Actions </w:t>
            </w:r>
            <w:r w:rsidRPr="00994961">
              <w:rPr>
                <w:sz w:val="24"/>
                <w:szCs w:val="24"/>
              </w:rPr>
              <w:t>(from eGAP)</w:t>
            </w:r>
          </w:p>
        </w:tc>
        <w:tc>
          <w:tcPr>
            <w:tcW w:w="4140" w:type="dxa"/>
            <w:tcBorders>
              <w:right w:val="thinThickSmallGap" w:sz="24" w:space="0" w:color="auto"/>
            </w:tcBorders>
            <w:shd w:val="clear" w:color="auto" w:fill="DBE5F1"/>
          </w:tcPr>
          <w:p w14:paraId="3E132249" w14:textId="77777777" w:rsidR="00C144B1" w:rsidRPr="00994961" w:rsidRDefault="00C144B1" w:rsidP="00C144B1">
            <w:pPr>
              <w:spacing w:after="0"/>
              <w:rPr>
                <w:sz w:val="24"/>
                <w:szCs w:val="24"/>
              </w:rPr>
            </w:pPr>
            <w:r w:rsidRPr="00994961">
              <w:rPr>
                <w:b/>
                <w:sz w:val="24"/>
                <w:szCs w:val="24"/>
              </w:rPr>
              <w:t xml:space="preserve">Performance Measurements </w:t>
            </w:r>
            <w:r w:rsidRPr="00994961">
              <w:rPr>
                <w:sz w:val="24"/>
                <w:szCs w:val="24"/>
              </w:rPr>
              <w:t xml:space="preserve">(from eGAP) </w:t>
            </w:r>
          </w:p>
          <w:p w14:paraId="7F171EE3" w14:textId="77777777" w:rsidR="00C144B1" w:rsidRPr="00994961" w:rsidRDefault="00C144B1" w:rsidP="00C144B1">
            <w:pPr>
              <w:spacing w:after="0"/>
              <w:rPr>
                <w:b/>
                <w:sz w:val="24"/>
                <w:szCs w:val="24"/>
              </w:rPr>
            </w:pPr>
            <w:r w:rsidRPr="00994961">
              <w:rPr>
                <w:sz w:val="24"/>
                <w:szCs w:val="24"/>
              </w:rPr>
              <w:t>(Short-term, intermediate, long-term impacts – as appropriate)</w:t>
            </w:r>
          </w:p>
        </w:tc>
        <w:tc>
          <w:tcPr>
            <w:tcW w:w="3330" w:type="dxa"/>
            <w:tcBorders>
              <w:left w:val="thinThickSmallGap" w:sz="24" w:space="0" w:color="auto"/>
            </w:tcBorders>
            <w:shd w:val="clear" w:color="auto" w:fill="DBE5F1"/>
          </w:tcPr>
          <w:p w14:paraId="3508D889" w14:textId="77777777" w:rsidR="00C144B1" w:rsidRPr="00994961" w:rsidRDefault="00C144B1" w:rsidP="00C144B1">
            <w:pPr>
              <w:spacing w:after="0"/>
              <w:rPr>
                <w:b/>
                <w:sz w:val="24"/>
                <w:szCs w:val="24"/>
              </w:rPr>
            </w:pPr>
            <w:r w:rsidRPr="00994961">
              <w:rPr>
                <w:b/>
                <w:sz w:val="24"/>
                <w:szCs w:val="24"/>
              </w:rPr>
              <w:t>Impacts;</w:t>
            </w:r>
          </w:p>
          <w:p w14:paraId="2F67D32B" w14:textId="77777777" w:rsidR="00C144B1" w:rsidRPr="00994961" w:rsidRDefault="00C144B1" w:rsidP="00C144B1">
            <w:pPr>
              <w:spacing w:after="0"/>
              <w:rPr>
                <w:b/>
                <w:sz w:val="24"/>
                <w:szCs w:val="24"/>
              </w:rPr>
            </w:pPr>
            <w:r w:rsidRPr="00994961">
              <w:rPr>
                <w:b/>
                <w:sz w:val="24"/>
                <w:szCs w:val="24"/>
              </w:rPr>
              <w:t>Data Supporting Impacts</w:t>
            </w:r>
          </w:p>
        </w:tc>
      </w:tr>
      <w:tr w:rsidR="00C144B1" w:rsidRPr="00C144B1" w14:paraId="3790FC33" w14:textId="77777777" w:rsidTr="00853D11">
        <w:tc>
          <w:tcPr>
            <w:tcW w:w="2700" w:type="dxa"/>
          </w:tcPr>
          <w:p w14:paraId="15C301C4" w14:textId="77777777" w:rsidR="00C144B1" w:rsidRPr="00C144B1" w:rsidRDefault="00C144B1" w:rsidP="00C144B1">
            <w:pPr>
              <w:spacing w:after="0"/>
            </w:pPr>
          </w:p>
          <w:p w14:paraId="75276A35" w14:textId="60447680" w:rsidR="00C144B1" w:rsidRPr="00C144B1" w:rsidRDefault="00C4081A" w:rsidP="00C144B1">
            <w:pPr>
              <w:spacing w:after="0"/>
            </w:pPr>
            <w:r>
              <w:t xml:space="preserve">4110 </w:t>
            </w:r>
          </w:p>
          <w:p w14:paraId="04226154" w14:textId="77777777" w:rsidR="00C144B1" w:rsidRPr="00C144B1" w:rsidRDefault="00C144B1" w:rsidP="00C144B1">
            <w:pPr>
              <w:spacing w:after="0"/>
            </w:pPr>
          </w:p>
          <w:p w14:paraId="35FC808C" w14:textId="77777777" w:rsidR="00C144B1" w:rsidRPr="00C144B1" w:rsidRDefault="00C144B1" w:rsidP="00C144B1">
            <w:pPr>
              <w:spacing w:after="0"/>
            </w:pPr>
          </w:p>
          <w:p w14:paraId="32DC5B12" w14:textId="77777777" w:rsidR="00C144B1" w:rsidRPr="00C144B1" w:rsidRDefault="00C144B1" w:rsidP="00C144B1">
            <w:pPr>
              <w:spacing w:after="0"/>
            </w:pPr>
          </w:p>
        </w:tc>
        <w:tc>
          <w:tcPr>
            <w:tcW w:w="3240" w:type="dxa"/>
          </w:tcPr>
          <w:p w14:paraId="482D1BAA" w14:textId="77777777" w:rsidR="001A4304" w:rsidRDefault="001A4304" w:rsidP="00C144B1">
            <w:pPr>
              <w:spacing w:after="0"/>
              <w:rPr>
                <w:rFonts w:ascii="Verdana" w:hAnsi="Verdana"/>
                <w:color w:val="000000"/>
                <w:sz w:val="18"/>
                <w:szCs w:val="18"/>
                <w:shd w:val="clear" w:color="auto" w:fill="F8FBF1"/>
              </w:rPr>
            </w:pPr>
            <w:r>
              <w:rPr>
                <w:rFonts w:ascii="Verdana" w:hAnsi="Verdana"/>
                <w:color w:val="000000"/>
                <w:sz w:val="18"/>
                <w:szCs w:val="18"/>
                <w:shd w:val="clear" w:color="auto" w:fill="F8FBF1"/>
              </w:rPr>
              <w:t>Employee</w:t>
            </w:r>
            <w:r w:rsidR="00C4081A">
              <w:rPr>
                <w:rFonts w:ascii="Verdana" w:hAnsi="Verdana"/>
                <w:color w:val="000000"/>
                <w:sz w:val="18"/>
                <w:szCs w:val="18"/>
                <w:shd w:val="clear" w:color="auto" w:fill="F8FBF1"/>
              </w:rPr>
              <w:t xml:space="preserve"> supplemental staff for additional academic tutoring and </w:t>
            </w:r>
            <w:r>
              <w:rPr>
                <w:rFonts w:ascii="Verdana" w:hAnsi="Verdana"/>
                <w:color w:val="000000"/>
                <w:sz w:val="18"/>
                <w:szCs w:val="18"/>
                <w:shd w:val="clear" w:color="auto" w:fill="F8FBF1"/>
              </w:rPr>
              <w:t>support for</w:t>
            </w:r>
            <w:r w:rsidR="00C4081A">
              <w:rPr>
                <w:rFonts w:ascii="Verdana" w:hAnsi="Verdana"/>
                <w:color w:val="000000"/>
                <w:sz w:val="18"/>
                <w:szCs w:val="18"/>
                <w:shd w:val="clear" w:color="auto" w:fill="F8FBF1"/>
              </w:rPr>
              <w:t xml:space="preserve"> 2 reading intervention teachers 1.0 math intervention teacher, and 1.50 class size reduction units at the Kindergarten Level and 1.0 Math Coach at Wills Valley Elementary School (0040)for a total of 5.5 </w:t>
            </w:r>
            <w:r>
              <w:rPr>
                <w:rFonts w:ascii="Verdana" w:hAnsi="Verdana"/>
                <w:color w:val="000000"/>
                <w:sz w:val="18"/>
                <w:szCs w:val="18"/>
                <w:shd w:val="clear" w:color="auto" w:fill="F8FBF1"/>
              </w:rPr>
              <w:t>Teachers.</w:t>
            </w:r>
            <w:r w:rsidR="00C4081A">
              <w:rPr>
                <w:rFonts w:ascii="Verdana" w:hAnsi="Verdana"/>
                <w:color w:val="000000"/>
                <w:sz w:val="18"/>
                <w:szCs w:val="18"/>
                <w:shd w:val="clear" w:color="auto" w:fill="F8FBF1"/>
              </w:rPr>
              <w:t xml:space="preserve">  At Little Ridge Intermediate School(0035)  .5  reading intervention teacher. </w:t>
            </w:r>
          </w:p>
          <w:p w14:paraId="58DA80E6" w14:textId="77777777" w:rsidR="001A4304" w:rsidRDefault="00C4081A" w:rsidP="00C144B1">
            <w:pPr>
              <w:spacing w:after="0"/>
              <w:rPr>
                <w:rFonts w:ascii="Verdana" w:hAnsi="Verdana"/>
                <w:color w:val="000000"/>
                <w:sz w:val="18"/>
                <w:szCs w:val="18"/>
                <w:shd w:val="clear" w:color="auto" w:fill="F8FBF1"/>
              </w:rPr>
            </w:pPr>
            <w:r>
              <w:rPr>
                <w:rFonts w:ascii="Verdana" w:hAnsi="Verdana"/>
                <w:color w:val="000000"/>
                <w:sz w:val="18"/>
                <w:szCs w:val="18"/>
                <w:shd w:val="clear" w:color="auto" w:fill="F8FBF1"/>
              </w:rPr>
              <w:t xml:space="preserve">At Fort Payne Middle School (0025) 1.0 Instructional curriculum consulting teacher coach , and .63 reading resource teacher, and 1.0 sixth grade class size reduction unit for a total of 2.63 units. </w:t>
            </w:r>
          </w:p>
          <w:p w14:paraId="1A603AAB" w14:textId="77777777" w:rsidR="00A62258" w:rsidRDefault="00C4081A" w:rsidP="00C144B1">
            <w:pPr>
              <w:spacing w:after="0"/>
              <w:rPr>
                <w:rFonts w:ascii="Verdana" w:hAnsi="Verdana"/>
                <w:color w:val="000000"/>
                <w:sz w:val="18"/>
                <w:szCs w:val="18"/>
                <w:shd w:val="clear" w:color="auto" w:fill="F8FBF1"/>
              </w:rPr>
            </w:pPr>
            <w:r>
              <w:rPr>
                <w:rFonts w:ascii="Verdana" w:hAnsi="Verdana"/>
                <w:color w:val="000000"/>
                <w:sz w:val="18"/>
                <w:szCs w:val="18"/>
                <w:shd w:val="clear" w:color="auto" w:fill="F8FBF1"/>
              </w:rPr>
              <w:t xml:space="preserve">At Fort Payne High School (0020) 1.0 instructional curriculum consulting teacher coach and .50 Secondary Technology instructional teacher coach for a total of 1.50 units. </w:t>
            </w:r>
          </w:p>
          <w:p w14:paraId="323F6809" w14:textId="77777777" w:rsidR="00A62258" w:rsidRDefault="00A62258" w:rsidP="00C144B1">
            <w:pPr>
              <w:spacing w:after="0"/>
              <w:rPr>
                <w:rFonts w:ascii="Verdana" w:hAnsi="Verdana"/>
                <w:color w:val="000000"/>
                <w:sz w:val="18"/>
                <w:szCs w:val="18"/>
                <w:shd w:val="clear" w:color="auto" w:fill="F8FBF1"/>
              </w:rPr>
            </w:pPr>
          </w:p>
          <w:p w14:paraId="4A9E7DB5" w14:textId="63F50E85" w:rsidR="00C144B1" w:rsidRPr="00C144B1" w:rsidRDefault="00C4081A" w:rsidP="00C144B1">
            <w:pPr>
              <w:spacing w:after="0"/>
            </w:pPr>
            <w:r>
              <w:rPr>
                <w:rFonts w:ascii="Verdana" w:hAnsi="Verdana"/>
                <w:color w:val="000000"/>
                <w:sz w:val="18"/>
                <w:szCs w:val="18"/>
                <w:shd w:val="clear" w:color="auto" w:fill="F8FBF1"/>
              </w:rPr>
              <w:lastRenderedPageBreak/>
              <w:t xml:space="preserve">In materials and supplies  funds will be used to purchase supplemental classroom materials and supplies, and instructional software to support students at most risk in the areas of reading and mathematics for Fort Payne High School, Fort Payne Middle School, Little Ridge Intermediate School, and Wills Valley Elementary School </w:t>
            </w:r>
          </w:p>
        </w:tc>
        <w:tc>
          <w:tcPr>
            <w:tcW w:w="4140" w:type="dxa"/>
            <w:tcBorders>
              <w:right w:val="thinThickSmallGap" w:sz="24" w:space="0" w:color="auto"/>
            </w:tcBorders>
          </w:tcPr>
          <w:p w14:paraId="3D495D20" w14:textId="7FC39005" w:rsidR="00C144B1" w:rsidRPr="00C144B1" w:rsidRDefault="00A62258" w:rsidP="00A62258">
            <w:pPr>
              <w:shd w:val="clear" w:color="auto" w:fill="F8FBF1"/>
              <w:spacing w:after="0" w:line="240" w:lineRule="auto"/>
            </w:pPr>
            <w:r w:rsidRPr="00A62258">
              <w:rPr>
                <w:rFonts w:ascii="Verdana" w:eastAsia="Times New Roman" w:hAnsi="Verdana" w:cs="Times New Roman"/>
                <w:color w:val="000000"/>
                <w:sz w:val="18"/>
                <w:szCs w:val="18"/>
              </w:rPr>
              <w:lastRenderedPageBreak/>
              <w:t xml:space="preserve">Performance measures will include local assessments such as STAR, DIBLES, IREADY and other curriculum based unit test especially in the areas of reading and mathematics. State assessment data to include ACAP assessments graded 2-8, ACCESS testing for al EL students, Alternate ACAP and ACCESS assessments, Pre-ACT, ACT along with high school graduation rates and third grade retention rate due to the literacy act requirements will be analyzed. </w:t>
            </w:r>
          </w:p>
        </w:tc>
        <w:tc>
          <w:tcPr>
            <w:tcW w:w="3330" w:type="dxa"/>
            <w:tcBorders>
              <w:left w:val="thinThickSmallGap" w:sz="24" w:space="0" w:color="auto"/>
            </w:tcBorders>
          </w:tcPr>
          <w:p w14:paraId="42865C55" w14:textId="77777777" w:rsidR="00C144B1" w:rsidRPr="00C144B1" w:rsidRDefault="00C144B1" w:rsidP="00C144B1">
            <w:pPr>
              <w:spacing w:after="0"/>
            </w:pPr>
          </w:p>
        </w:tc>
      </w:tr>
      <w:tr w:rsidR="00C144B1" w:rsidRPr="00C144B1" w14:paraId="59BF6B28" w14:textId="77777777" w:rsidTr="00853D11">
        <w:tc>
          <w:tcPr>
            <w:tcW w:w="2700" w:type="dxa"/>
          </w:tcPr>
          <w:p w14:paraId="502809C4" w14:textId="77777777" w:rsidR="00C144B1" w:rsidRPr="00C144B1" w:rsidRDefault="00C144B1" w:rsidP="00C144B1">
            <w:pPr>
              <w:spacing w:after="0"/>
            </w:pPr>
          </w:p>
          <w:p w14:paraId="2B0B8ADB" w14:textId="77777777" w:rsidR="00C144B1" w:rsidRPr="00C144B1" w:rsidRDefault="00C144B1" w:rsidP="00C144B1">
            <w:pPr>
              <w:spacing w:after="0"/>
            </w:pPr>
          </w:p>
          <w:p w14:paraId="74DAC78D" w14:textId="77777777" w:rsidR="00C144B1" w:rsidRPr="00C144B1" w:rsidRDefault="00C144B1" w:rsidP="00C144B1">
            <w:pPr>
              <w:spacing w:after="0"/>
            </w:pPr>
          </w:p>
          <w:p w14:paraId="08265DD1" w14:textId="77777777" w:rsidR="00C144B1" w:rsidRPr="00C144B1" w:rsidRDefault="00C144B1" w:rsidP="00C144B1">
            <w:pPr>
              <w:spacing w:after="0"/>
            </w:pPr>
          </w:p>
          <w:p w14:paraId="42E9DC7D" w14:textId="77777777" w:rsidR="00C144B1" w:rsidRPr="00C144B1" w:rsidRDefault="00C144B1" w:rsidP="00C144B1">
            <w:pPr>
              <w:spacing w:after="0"/>
            </w:pPr>
          </w:p>
        </w:tc>
        <w:tc>
          <w:tcPr>
            <w:tcW w:w="3240" w:type="dxa"/>
          </w:tcPr>
          <w:p w14:paraId="20BC7EC7" w14:textId="5C0DB430" w:rsidR="00C144B1" w:rsidRPr="00C144B1" w:rsidRDefault="009641BB" w:rsidP="00C144B1">
            <w:pPr>
              <w:spacing w:after="0"/>
            </w:pPr>
            <w:r>
              <w:rPr>
                <w:rFonts w:ascii="Verdana" w:hAnsi="Verdana"/>
                <w:color w:val="000000"/>
                <w:sz w:val="18"/>
                <w:szCs w:val="18"/>
                <w:shd w:val="clear" w:color="auto" w:fill="F8FBF1"/>
              </w:rPr>
              <w:t>Counselor:  funds will be utilized to employee .5 of a counselor unit for the system to be split between Wills Valley Elementary School and Little Ridge Intermediate School to provide supplemental counseling services in order to better serve our low income students and families by focusing on social issues that have occurred due to learning gaps, isolations from virtual learning and negative social impact of COVID-19 and other issues that may impede student’s academic success which will result in increasing academic achievement and social competency in our students.</w:t>
            </w:r>
          </w:p>
        </w:tc>
        <w:tc>
          <w:tcPr>
            <w:tcW w:w="4140" w:type="dxa"/>
            <w:tcBorders>
              <w:right w:val="thinThickSmallGap" w:sz="24" w:space="0" w:color="auto"/>
            </w:tcBorders>
          </w:tcPr>
          <w:p w14:paraId="7A586A30" w14:textId="75289E0A" w:rsidR="00C144B1" w:rsidRPr="00C144B1" w:rsidRDefault="009641BB" w:rsidP="00C144B1">
            <w:pPr>
              <w:spacing w:after="0"/>
            </w:pPr>
            <w:r>
              <w:rPr>
                <w:rFonts w:ascii="Verdana" w:hAnsi="Verdana"/>
                <w:color w:val="000000"/>
                <w:sz w:val="18"/>
                <w:szCs w:val="18"/>
                <w:shd w:val="clear" w:color="auto" w:fill="F8FBF1"/>
              </w:rPr>
              <w:t>Yearly SIRS report data, School Needs assessments, school discipline data, attendance data, state assessment data, and monthly analysis of students receiving counseling, and mental health referrals.</w:t>
            </w:r>
          </w:p>
        </w:tc>
        <w:tc>
          <w:tcPr>
            <w:tcW w:w="3330" w:type="dxa"/>
            <w:tcBorders>
              <w:left w:val="thinThickSmallGap" w:sz="24" w:space="0" w:color="auto"/>
            </w:tcBorders>
          </w:tcPr>
          <w:p w14:paraId="2CEEA1BC" w14:textId="77777777" w:rsidR="00C144B1" w:rsidRPr="00C144B1" w:rsidRDefault="00C144B1" w:rsidP="00C144B1">
            <w:pPr>
              <w:spacing w:after="0"/>
            </w:pPr>
          </w:p>
        </w:tc>
      </w:tr>
      <w:tr w:rsidR="00C144B1" w:rsidRPr="00C144B1" w14:paraId="2B7F8CA3" w14:textId="77777777" w:rsidTr="00853D11">
        <w:tc>
          <w:tcPr>
            <w:tcW w:w="2700" w:type="dxa"/>
          </w:tcPr>
          <w:p w14:paraId="1F7ED0C6" w14:textId="77777777" w:rsidR="00C144B1" w:rsidRPr="00C144B1" w:rsidRDefault="00C144B1" w:rsidP="00C144B1">
            <w:pPr>
              <w:spacing w:after="0"/>
            </w:pPr>
          </w:p>
          <w:p w14:paraId="5F1BFD57" w14:textId="77777777" w:rsidR="00C144B1" w:rsidRPr="00C144B1" w:rsidRDefault="00C144B1" w:rsidP="00C144B1">
            <w:pPr>
              <w:spacing w:after="0"/>
            </w:pPr>
          </w:p>
          <w:p w14:paraId="4FD2E266" w14:textId="77777777" w:rsidR="00C144B1" w:rsidRPr="00C144B1" w:rsidRDefault="00C144B1" w:rsidP="00C144B1">
            <w:pPr>
              <w:spacing w:after="0"/>
            </w:pPr>
          </w:p>
          <w:p w14:paraId="68443D31" w14:textId="77777777" w:rsidR="00C144B1" w:rsidRPr="00C144B1" w:rsidRDefault="00C144B1" w:rsidP="00C144B1">
            <w:pPr>
              <w:spacing w:after="0"/>
            </w:pPr>
          </w:p>
          <w:p w14:paraId="1CEC6E59" w14:textId="77777777" w:rsidR="00C144B1" w:rsidRPr="00C144B1" w:rsidRDefault="00C144B1" w:rsidP="00C144B1">
            <w:pPr>
              <w:spacing w:after="0"/>
            </w:pPr>
          </w:p>
        </w:tc>
        <w:tc>
          <w:tcPr>
            <w:tcW w:w="3240" w:type="dxa"/>
          </w:tcPr>
          <w:p w14:paraId="3552153D" w14:textId="30A3B64A" w:rsidR="00C144B1" w:rsidRPr="00C144B1" w:rsidRDefault="009641BB" w:rsidP="00C144B1">
            <w:pPr>
              <w:spacing w:after="0"/>
            </w:pPr>
            <w:r>
              <w:t xml:space="preserve">Professional Development: </w:t>
            </w:r>
            <w:r>
              <w:rPr>
                <w:rFonts w:ascii="Verdana" w:hAnsi="Verdana"/>
                <w:color w:val="000000"/>
                <w:sz w:val="18"/>
                <w:szCs w:val="18"/>
                <w:shd w:val="clear" w:color="auto" w:fill="F8FBF1"/>
              </w:rPr>
              <w:t xml:space="preserve">To provide supplemental funds for Professional Development for teachers and administrators at as it relates to our system wide needs assessment professional activities needed. Additional funds were set aside at district level to provide K-5 math teachers retooling training for the new ALSDE COS in mathematics Training will take </w:t>
            </w:r>
            <w:r>
              <w:rPr>
                <w:rFonts w:ascii="Verdana" w:hAnsi="Verdana"/>
                <w:color w:val="000000"/>
                <w:sz w:val="18"/>
                <w:szCs w:val="18"/>
                <w:shd w:val="clear" w:color="auto" w:fill="F8FBF1"/>
              </w:rPr>
              <w:lastRenderedPageBreak/>
              <w:t>place summer of 2022. K-5 Teachers will participate in Year 1 Retooling Training for four days during the summer. Year 1 training is built upon the research of John Van de Wall, NCTM’s Teacher Practices, and Math Journaling. In K-2, this foundational training focuses on the big ideas of developing early numeracy and building strategies for whole number computation (add/sub). In grades 3-5, the focus is on the big ideas of continued numeracy development and building best practice strategies for multiplication and division of whole numbers.</w:t>
            </w:r>
          </w:p>
        </w:tc>
        <w:tc>
          <w:tcPr>
            <w:tcW w:w="4140" w:type="dxa"/>
            <w:tcBorders>
              <w:right w:val="thinThickSmallGap" w:sz="24" w:space="0" w:color="auto"/>
            </w:tcBorders>
          </w:tcPr>
          <w:p w14:paraId="290594E3" w14:textId="740902B0" w:rsidR="00C144B1" w:rsidRPr="00C144B1" w:rsidRDefault="009641BB" w:rsidP="00C144B1">
            <w:pPr>
              <w:spacing w:after="0"/>
            </w:pPr>
            <w:r>
              <w:rPr>
                <w:rFonts w:ascii="Verdana" w:hAnsi="Verdana"/>
                <w:color w:val="000000"/>
                <w:sz w:val="18"/>
                <w:szCs w:val="18"/>
                <w:shd w:val="clear" w:color="auto" w:fill="F8FBF1"/>
              </w:rPr>
              <w:lastRenderedPageBreak/>
              <w:t>Evaluation of attendance at Professional development activities, turn around training that is provided by staff, and evaluation of ACIP plan to ensure PD is supporting ACIP goals.</w:t>
            </w:r>
          </w:p>
        </w:tc>
        <w:tc>
          <w:tcPr>
            <w:tcW w:w="3330" w:type="dxa"/>
            <w:tcBorders>
              <w:left w:val="thinThickSmallGap" w:sz="24" w:space="0" w:color="auto"/>
            </w:tcBorders>
          </w:tcPr>
          <w:p w14:paraId="562D8621" w14:textId="77777777" w:rsidR="00C144B1" w:rsidRPr="00C144B1" w:rsidRDefault="00C144B1" w:rsidP="00C144B1">
            <w:pPr>
              <w:spacing w:after="0"/>
            </w:pPr>
          </w:p>
        </w:tc>
      </w:tr>
      <w:tr w:rsidR="00C144B1" w:rsidRPr="00C144B1" w14:paraId="169C7CBA" w14:textId="77777777" w:rsidTr="00853D11">
        <w:tc>
          <w:tcPr>
            <w:tcW w:w="2700" w:type="dxa"/>
          </w:tcPr>
          <w:p w14:paraId="57430B3A" w14:textId="77777777" w:rsidR="00C144B1" w:rsidRPr="00C144B1" w:rsidRDefault="00C144B1" w:rsidP="00C144B1">
            <w:pPr>
              <w:spacing w:after="0"/>
            </w:pPr>
          </w:p>
          <w:p w14:paraId="42128AE2" w14:textId="77777777" w:rsidR="00C144B1" w:rsidRPr="00C144B1" w:rsidRDefault="00C144B1" w:rsidP="00C144B1">
            <w:pPr>
              <w:spacing w:after="0"/>
            </w:pPr>
          </w:p>
          <w:p w14:paraId="5C66DFA2" w14:textId="77777777" w:rsidR="00C144B1" w:rsidRPr="00C144B1" w:rsidRDefault="00C144B1" w:rsidP="00C144B1">
            <w:pPr>
              <w:spacing w:after="0"/>
            </w:pPr>
          </w:p>
          <w:p w14:paraId="719E3A64" w14:textId="77777777" w:rsidR="00C144B1" w:rsidRPr="00C144B1" w:rsidRDefault="00C144B1" w:rsidP="00C144B1">
            <w:pPr>
              <w:spacing w:after="0"/>
            </w:pPr>
          </w:p>
          <w:p w14:paraId="5E3307C9" w14:textId="77777777" w:rsidR="00C144B1" w:rsidRPr="00C144B1" w:rsidRDefault="00C144B1" w:rsidP="00C144B1">
            <w:pPr>
              <w:spacing w:after="0"/>
            </w:pPr>
          </w:p>
        </w:tc>
        <w:tc>
          <w:tcPr>
            <w:tcW w:w="3240" w:type="dxa"/>
          </w:tcPr>
          <w:p w14:paraId="66BE94CA" w14:textId="77777777" w:rsidR="00C144B1" w:rsidRPr="00C144B1" w:rsidRDefault="00C144B1" w:rsidP="00C144B1">
            <w:pPr>
              <w:spacing w:after="0"/>
            </w:pPr>
          </w:p>
        </w:tc>
        <w:tc>
          <w:tcPr>
            <w:tcW w:w="4140" w:type="dxa"/>
            <w:tcBorders>
              <w:right w:val="thinThickSmallGap" w:sz="24" w:space="0" w:color="auto"/>
            </w:tcBorders>
          </w:tcPr>
          <w:p w14:paraId="385F035E" w14:textId="77777777" w:rsidR="00C144B1" w:rsidRPr="00C144B1" w:rsidRDefault="00C144B1" w:rsidP="00C144B1">
            <w:pPr>
              <w:spacing w:after="0"/>
            </w:pPr>
          </w:p>
        </w:tc>
        <w:tc>
          <w:tcPr>
            <w:tcW w:w="3330" w:type="dxa"/>
            <w:tcBorders>
              <w:left w:val="thinThickSmallGap" w:sz="24" w:space="0" w:color="auto"/>
            </w:tcBorders>
          </w:tcPr>
          <w:p w14:paraId="3010FBE6" w14:textId="77777777" w:rsidR="00C144B1" w:rsidRPr="00C144B1" w:rsidRDefault="00C144B1" w:rsidP="00C144B1">
            <w:pPr>
              <w:spacing w:after="0"/>
            </w:pPr>
          </w:p>
        </w:tc>
      </w:tr>
    </w:tbl>
    <w:p w14:paraId="0C699AB4" w14:textId="77777777" w:rsidR="008D3F5C" w:rsidRDefault="008D3F5C" w:rsidP="00853D11"/>
    <w:sectPr w:rsidR="008D3F5C" w:rsidSect="00853D11">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B1"/>
    <w:rsid w:val="001A4304"/>
    <w:rsid w:val="00853D11"/>
    <w:rsid w:val="008D3F5C"/>
    <w:rsid w:val="009641BB"/>
    <w:rsid w:val="00994961"/>
    <w:rsid w:val="00A268F7"/>
    <w:rsid w:val="00A62258"/>
    <w:rsid w:val="00C144B1"/>
    <w:rsid w:val="00C4081A"/>
    <w:rsid w:val="00C416B2"/>
    <w:rsid w:val="00C9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4BA2"/>
  <w15:docId w15:val="{3714B4F0-7204-4DCE-960D-5CC9F19B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97413">
      <w:bodyDiv w:val="1"/>
      <w:marLeft w:val="0"/>
      <w:marRight w:val="0"/>
      <w:marTop w:val="0"/>
      <w:marBottom w:val="0"/>
      <w:divBdr>
        <w:top w:val="none" w:sz="0" w:space="0" w:color="auto"/>
        <w:left w:val="none" w:sz="0" w:space="0" w:color="auto"/>
        <w:bottom w:val="none" w:sz="0" w:space="0" w:color="auto"/>
        <w:right w:val="none" w:sz="0" w:space="0" w:color="auto"/>
      </w:divBdr>
      <w:divsChild>
        <w:div w:id="1454862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3181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Mary Rose</dc:creator>
  <cp:lastModifiedBy>Jessica Hayes</cp:lastModifiedBy>
  <cp:revision>2</cp:revision>
  <cp:lastPrinted>2013-07-26T19:03:00Z</cp:lastPrinted>
  <dcterms:created xsi:type="dcterms:W3CDTF">2022-03-21T15:54:00Z</dcterms:created>
  <dcterms:modified xsi:type="dcterms:W3CDTF">2022-03-21T15:54:00Z</dcterms:modified>
</cp:coreProperties>
</file>